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E9" w:rsidRPr="003953A6" w:rsidRDefault="00E12EE9" w:rsidP="003953A6">
      <w:r>
        <w:t xml:space="preserve">                                   </w:t>
      </w:r>
    </w:p>
    <w:tbl>
      <w:tblPr>
        <w:tblpPr w:leftFromText="180" w:rightFromText="180" w:vertAnchor="text" w:horzAnchor="margin" w:tblpY="67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98"/>
        <w:gridCol w:w="2472"/>
      </w:tblGrid>
      <w:tr w:rsidR="00E70807" w:rsidTr="00E70807">
        <w:trPr>
          <w:trHeight w:val="843"/>
        </w:trPr>
        <w:tc>
          <w:tcPr>
            <w:tcW w:w="6798" w:type="dxa"/>
          </w:tcPr>
          <w:p w:rsidR="00E70807" w:rsidRDefault="00E70807" w:rsidP="00E70807">
            <w:pPr>
              <w:tabs>
                <w:tab w:val="left" w:pos="3420"/>
              </w:tabs>
              <w:rPr>
                <w:b/>
              </w:rPr>
            </w:pPr>
          </w:p>
          <w:p w:rsidR="00E70807" w:rsidRDefault="00E70807" w:rsidP="00E70807">
            <w:pPr>
              <w:tabs>
                <w:tab w:val="left" w:pos="342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Salary – Total Annual CTC in Rupees</w:t>
            </w:r>
          </w:p>
        </w:tc>
        <w:tc>
          <w:tcPr>
            <w:tcW w:w="2472" w:type="dxa"/>
          </w:tcPr>
          <w:p w:rsidR="00E70807" w:rsidRDefault="00E70807" w:rsidP="00E70807">
            <w:pPr>
              <w:tabs>
                <w:tab w:val="left" w:pos="3420"/>
              </w:tabs>
              <w:rPr>
                <w:b/>
              </w:rPr>
            </w:pPr>
          </w:p>
          <w:p w:rsidR="00E70807" w:rsidRDefault="00E70807" w:rsidP="00E70807">
            <w:pPr>
              <w:tabs>
                <w:tab w:val="left" w:pos="342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Fees in Percentage</w:t>
            </w:r>
          </w:p>
        </w:tc>
      </w:tr>
      <w:tr w:rsidR="00E70807" w:rsidTr="00E70807">
        <w:trPr>
          <w:trHeight w:val="281"/>
        </w:trPr>
        <w:tc>
          <w:tcPr>
            <w:tcW w:w="6798" w:type="dxa"/>
          </w:tcPr>
          <w:p w:rsidR="00E70807" w:rsidRDefault="00E70807" w:rsidP="00E70807">
            <w:pPr>
              <w:tabs>
                <w:tab w:val="left" w:pos="342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Permanent  Driver  (Up to Rs 1</w:t>
            </w:r>
            <w:r w:rsidRPr="00077141">
              <w:rPr>
                <w:b/>
                <w:sz w:val="22"/>
                <w:szCs w:val="22"/>
              </w:rPr>
              <w:t>.99 Lacs)</w:t>
            </w:r>
          </w:p>
        </w:tc>
        <w:tc>
          <w:tcPr>
            <w:tcW w:w="2472" w:type="dxa"/>
          </w:tcPr>
          <w:p w:rsidR="00E70807" w:rsidRDefault="00E70807" w:rsidP="00E70807">
            <w:pPr>
              <w:tabs>
                <w:tab w:val="left" w:pos="342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8.33 %</w:t>
            </w:r>
          </w:p>
        </w:tc>
      </w:tr>
    </w:tbl>
    <w:p w:rsidR="00E70807" w:rsidRDefault="00E70807" w:rsidP="00415507">
      <w:pPr>
        <w:jc w:val="both"/>
        <w:rPr>
          <w:rFonts w:ascii="Arial" w:hAnsi="Arial" w:cs="Arial"/>
          <w:b/>
          <w:sz w:val="20"/>
          <w:szCs w:val="20"/>
        </w:rPr>
      </w:pPr>
    </w:p>
    <w:p w:rsidR="00E70807" w:rsidRDefault="00E70807" w:rsidP="00415507">
      <w:pPr>
        <w:jc w:val="both"/>
        <w:rPr>
          <w:rFonts w:ascii="Arial" w:hAnsi="Arial" w:cs="Arial"/>
          <w:b/>
          <w:sz w:val="20"/>
          <w:szCs w:val="20"/>
        </w:rPr>
      </w:pPr>
    </w:p>
    <w:p w:rsidR="00415507" w:rsidRDefault="00415507" w:rsidP="004155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Invoicing - </w:t>
      </w:r>
      <w:r>
        <w:rPr>
          <w:rFonts w:ascii="Arial" w:hAnsi="Arial" w:cs="Arial"/>
          <w:sz w:val="20"/>
          <w:szCs w:val="20"/>
        </w:rPr>
        <w:t>The invoice for services rendered will be raised on the 30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day of the successful </w:t>
      </w:r>
      <w:r w:rsidR="00E70807">
        <w:rPr>
          <w:rFonts w:ascii="Arial" w:hAnsi="Arial" w:cs="Arial"/>
          <w:sz w:val="20"/>
          <w:szCs w:val="20"/>
        </w:rPr>
        <w:t>Driver</w:t>
      </w:r>
      <w:r w:rsidR="00E12EE9">
        <w:rPr>
          <w:rFonts w:ascii="Arial" w:hAnsi="Arial" w:cs="Arial"/>
          <w:sz w:val="20"/>
          <w:szCs w:val="20"/>
        </w:rPr>
        <w:t>’s commencement of Joining</w:t>
      </w:r>
      <w:r>
        <w:rPr>
          <w:rFonts w:ascii="Arial" w:hAnsi="Arial" w:cs="Arial"/>
          <w:sz w:val="20"/>
          <w:szCs w:val="20"/>
        </w:rPr>
        <w:t xml:space="preserve"> with the Customer.</w:t>
      </w:r>
    </w:p>
    <w:p w:rsidR="00415507" w:rsidRDefault="00415507" w:rsidP="00415507">
      <w:pPr>
        <w:tabs>
          <w:tab w:val="left" w:pos="2160"/>
        </w:tabs>
        <w:spacing w:line="12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415507" w:rsidRDefault="00415507" w:rsidP="00415507">
      <w:pPr>
        <w:jc w:val="both"/>
        <w:rPr>
          <w:rFonts w:ascii="Arial" w:hAnsi="Arial" w:cs="Arial"/>
          <w:b/>
          <w:sz w:val="20"/>
          <w:szCs w:val="20"/>
        </w:rPr>
      </w:pPr>
    </w:p>
    <w:p w:rsidR="00415507" w:rsidRDefault="00415507" w:rsidP="004155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Payment terms – 15 days fixed</w:t>
      </w:r>
      <w:r>
        <w:rPr>
          <w:rFonts w:ascii="Arial" w:hAnsi="Arial" w:cs="Arial"/>
          <w:sz w:val="20"/>
          <w:szCs w:val="20"/>
        </w:rPr>
        <w:t xml:space="preserve"> from invoice date.</w:t>
      </w:r>
    </w:p>
    <w:p w:rsidR="00415507" w:rsidRDefault="00415507" w:rsidP="00415507">
      <w:pPr>
        <w:jc w:val="both"/>
        <w:rPr>
          <w:rFonts w:ascii="Arial" w:hAnsi="Arial" w:cs="Arial"/>
          <w:sz w:val="20"/>
          <w:szCs w:val="20"/>
        </w:rPr>
      </w:pPr>
    </w:p>
    <w:p w:rsidR="00415507" w:rsidRDefault="00415507" w:rsidP="00415507">
      <w:pPr>
        <w:jc w:val="both"/>
        <w:rPr>
          <w:rFonts w:ascii="Arial" w:hAnsi="Arial" w:cs="Arial"/>
          <w:sz w:val="20"/>
          <w:szCs w:val="20"/>
        </w:rPr>
      </w:pPr>
    </w:p>
    <w:p w:rsidR="00415507" w:rsidRDefault="00415507" w:rsidP="004155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Guarantee clause</w:t>
      </w:r>
      <w:r>
        <w:rPr>
          <w:rFonts w:ascii="Arial" w:hAnsi="Arial" w:cs="Arial"/>
          <w:sz w:val="20"/>
          <w:szCs w:val="20"/>
        </w:rPr>
        <w:t xml:space="preserve"> – If any </w:t>
      </w:r>
      <w:r w:rsidR="00E70807">
        <w:rPr>
          <w:rFonts w:ascii="Arial" w:hAnsi="Arial" w:cs="Arial"/>
          <w:sz w:val="20"/>
          <w:szCs w:val="20"/>
        </w:rPr>
        <w:t>Driver</w:t>
      </w:r>
      <w:r>
        <w:rPr>
          <w:rFonts w:ascii="Arial" w:hAnsi="Arial" w:cs="Arial"/>
          <w:sz w:val="20"/>
          <w:szCs w:val="20"/>
        </w:rPr>
        <w:t xml:space="preserve"> quits the job</w:t>
      </w:r>
      <w:r w:rsidR="00E70807">
        <w:rPr>
          <w:rFonts w:ascii="Arial" w:hAnsi="Arial" w:cs="Arial"/>
          <w:sz w:val="20"/>
          <w:szCs w:val="20"/>
        </w:rPr>
        <w:t xml:space="preserve"> on his</w:t>
      </w:r>
      <w:r>
        <w:rPr>
          <w:rFonts w:ascii="Arial" w:hAnsi="Arial" w:cs="Arial"/>
          <w:sz w:val="20"/>
          <w:szCs w:val="20"/>
        </w:rPr>
        <w:t xml:space="preserve"> own accord during the first 90 Days of joining, </w:t>
      </w:r>
      <w:r>
        <w:rPr>
          <w:rFonts w:ascii="Arial" w:hAnsi="Arial" w:cs="Arial"/>
          <w:b/>
          <w:sz w:val="20"/>
          <w:szCs w:val="20"/>
        </w:rPr>
        <w:t xml:space="preserve">SARATHI SERVICE </w:t>
      </w:r>
      <w:r>
        <w:rPr>
          <w:rFonts w:ascii="Arial" w:hAnsi="Arial" w:cs="Arial"/>
          <w:sz w:val="20"/>
          <w:szCs w:val="20"/>
        </w:rPr>
        <w:t xml:space="preserve">will provide a free replacement only if the payment for the </w:t>
      </w:r>
      <w:r w:rsidR="00E70807">
        <w:rPr>
          <w:rFonts w:ascii="Arial" w:hAnsi="Arial" w:cs="Arial"/>
          <w:sz w:val="20"/>
          <w:szCs w:val="20"/>
        </w:rPr>
        <w:t>Driver</w:t>
      </w:r>
      <w:r>
        <w:rPr>
          <w:rFonts w:ascii="Arial" w:hAnsi="Arial" w:cs="Arial"/>
          <w:sz w:val="20"/>
          <w:szCs w:val="20"/>
        </w:rPr>
        <w:t xml:space="preserve"> has been received as per the invoice and within 15 days of the invoice date.  Further on, the replacement will be given only if it is informed to </w:t>
      </w:r>
      <w:r>
        <w:rPr>
          <w:rFonts w:ascii="Arial" w:hAnsi="Arial" w:cs="Arial"/>
          <w:b/>
          <w:sz w:val="20"/>
          <w:szCs w:val="20"/>
        </w:rPr>
        <w:t xml:space="preserve">SARATHI SERVICE </w:t>
      </w:r>
      <w:r>
        <w:rPr>
          <w:rFonts w:ascii="Arial" w:hAnsi="Arial" w:cs="Arial"/>
          <w:sz w:val="20"/>
          <w:szCs w:val="20"/>
        </w:rPr>
        <w:t xml:space="preserve">within 7 days of the </w:t>
      </w:r>
      <w:r w:rsidR="00E70807">
        <w:rPr>
          <w:rFonts w:ascii="Arial" w:hAnsi="Arial" w:cs="Arial"/>
          <w:sz w:val="20"/>
          <w:szCs w:val="20"/>
        </w:rPr>
        <w:t>Driver</w:t>
      </w:r>
      <w:r>
        <w:rPr>
          <w:rFonts w:ascii="Arial" w:hAnsi="Arial" w:cs="Arial"/>
          <w:sz w:val="20"/>
          <w:szCs w:val="20"/>
        </w:rPr>
        <w:t xml:space="preserve"> quitting.  Any replaced </w:t>
      </w:r>
      <w:r w:rsidR="00E70807">
        <w:rPr>
          <w:rFonts w:ascii="Arial" w:hAnsi="Arial" w:cs="Arial"/>
          <w:sz w:val="20"/>
          <w:szCs w:val="20"/>
        </w:rPr>
        <w:t>Driver</w:t>
      </w:r>
      <w:r>
        <w:rPr>
          <w:rFonts w:ascii="Arial" w:hAnsi="Arial" w:cs="Arial"/>
          <w:sz w:val="20"/>
          <w:szCs w:val="20"/>
        </w:rPr>
        <w:t xml:space="preserve"> will be exempted from this clause thereon.</w:t>
      </w:r>
    </w:p>
    <w:p w:rsidR="00415507" w:rsidRDefault="00415507" w:rsidP="00415507">
      <w:pPr>
        <w:spacing w:line="120" w:lineRule="auto"/>
        <w:jc w:val="both"/>
        <w:rPr>
          <w:rFonts w:ascii="Arial" w:hAnsi="Arial" w:cs="Arial"/>
          <w:b/>
          <w:sz w:val="20"/>
          <w:szCs w:val="20"/>
        </w:rPr>
      </w:pPr>
    </w:p>
    <w:p w:rsidR="00415507" w:rsidRDefault="00415507" w:rsidP="00415507">
      <w:pPr>
        <w:jc w:val="both"/>
        <w:rPr>
          <w:rFonts w:ascii="Arial" w:hAnsi="Arial" w:cs="Arial"/>
          <w:b/>
          <w:sz w:val="20"/>
          <w:szCs w:val="20"/>
        </w:rPr>
      </w:pPr>
    </w:p>
    <w:p w:rsidR="00415507" w:rsidRDefault="00415507" w:rsidP="004155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Deferred Hiring/Third Party </w:t>
      </w:r>
      <w:r w:rsidR="00E70807">
        <w:rPr>
          <w:rFonts w:ascii="Arial" w:hAnsi="Arial" w:cs="Arial"/>
          <w:b/>
          <w:sz w:val="20"/>
          <w:szCs w:val="20"/>
        </w:rPr>
        <w:t xml:space="preserve">Placement </w:t>
      </w:r>
      <w:r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Introductions effected by </w:t>
      </w:r>
      <w:r>
        <w:rPr>
          <w:rFonts w:ascii="Arial" w:hAnsi="Arial" w:cs="Arial"/>
          <w:b/>
          <w:sz w:val="20"/>
          <w:szCs w:val="20"/>
        </w:rPr>
        <w:t xml:space="preserve">SARATHI SERVICE </w:t>
      </w:r>
      <w:r>
        <w:rPr>
          <w:rFonts w:ascii="Arial" w:hAnsi="Arial" w:cs="Arial"/>
          <w:sz w:val="20"/>
          <w:szCs w:val="20"/>
        </w:rPr>
        <w:t xml:space="preserve">are strictly confidential.  If a Customer passes on a </w:t>
      </w:r>
      <w:r w:rsidR="00E70807">
        <w:rPr>
          <w:rFonts w:ascii="Arial" w:hAnsi="Arial" w:cs="Arial"/>
          <w:sz w:val="20"/>
          <w:szCs w:val="20"/>
        </w:rPr>
        <w:t>Driver</w:t>
      </w:r>
      <w:r>
        <w:rPr>
          <w:rFonts w:ascii="Arial" w:hAnsi="Arial" w:cs="Arial"/>
          <w:sz w:val="20"/>
          <w:szCs w:val="20"/>
        </w:rPr>
        <w:t xml:space="preserve"> or details of a </w:t>
      </w:r>
      <w:r w:rsidR="00E70807">
        <w:rPr>
          <w:rFonts w:ascii="Arial" w:hAnsi="Arial" w:cs="Arial"/>
          <w:sz w:val="20"/>
          <w:szCs w:val="20"/>
        </w:rPr>
        <w:t>Driver</w:t>
      </w:r>
      <w:r>
        <w:rPr>
          <w:rFonts w:ascii="Arial" w:hAnsi="Arial" w:cs="Arial"/>
          <w:sz w:val="20"/>
          <w:szCs w:val="20"/>
        </w:rPr>
        <w:t xml:space="preserve"> introduced by us to a third party within 6 months of introduction, the Customer is liable for the appropriate Permanent placement fee as specified above.</w:t>
      </w:r>
    </w:p>
    <w:p w:rsidR="00415507" w:rsidRDefault="00415507" w:rsidP="00415507">
      <w:pPr>
        <w:jc w:val="both"/>
        <w:rPr>
          <w:rFonts w:ascii="Arial" w:hAnsi="Arial" w:cs="Arial"/>
          <w:sz w:val="20"/>
          <w:szCs w:val="20"/>
        </w:rPr>
      </w:pPr>
    </w:p>
    <w:p w:rsidR="00415507" w:rsidRDefault="00415507" w:rsidP="00415507">
      <w:pPr>
        <w:spacing w:line="120" w:lineRule="auto"/>
        <w:jc w:val="both"/>
        <w:rPr>
          <w:rFonts w:ascii="Arial" w:hAnsi="Arial" w:cs="Arial"/>
          <w:sz w:val="20"/>
          <w:szCs w:val="20"/>
        </w:rPr>
      </w:pPr>
    </w:p>
    <w:p w:rsidR="00415507" w:rsidRDefault="00415507" w:rsidP="004155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Acceptance of conditions - </w:t>
      </w:r>
      <w:r>
        <w:rPr>
          <w:rFonts w:ascii="Arial" w:hAnsi="Arial" w:cs="Arial"/>
          <w:sz w:val="20"/>
          <w:szCs w:val="20"/>
        </w:rPr>
        <w:t xml:space="preserve">Interview of </w:t>
      </w:r>
      <w:r w:rsidR="00E70807">
        <w:rPr>
          <w:rFonts w:ascii="Arial" w:hAnsi="Arial" w:cs="Arial"/>
          <w:sz w:val="20"/>
          <w:szCs w:val="20"/>
        </w:rPr>
        <w:t>Driver</w:t>
      </w:r>
      <w:r>
        <w:rPr>
          <w:rFonts w:ascii="Arial" w:hAnsi="Arial" w:cs="Arial"/>
          <w:sz w:val="20"/>
          <w:szCs w:val="20"/>
        </w:rPr>
        <w:t xml:space="preserve">s referred by shall be deemed acceptance of our terms and conditions of business and agreement to pay the relevant fee for such </w:t>
      </w:r>
      <w:r w:rsidR="00E70807">
        <w:rPr>
          <w:rFonts w:ascii="Arial" w:hAnsi="Arial" w:cs="Arial"/>
          <w:sz w:val="20"/>
          <w:szCs w:val="20"/>
        </w:rPr>
        <w:t>Driver</w:t>
      </w:r>
      <w:r>
        <w:rPr>
          <w:rFonts w:ascii="Arial" w:hAnsi="Arial" w:cs="Arial"/>
          <w:sz w:val="20"/>
          <w:szCs w:val="20"/>
        </w:rPr>
        <w:t>s employed by the Customer to whom the referral was made or any other organization or person associated with it.</w:t>
      </w:r>
    </w:p>
    <w:p w:rsidR="00415507" w:rsidRDefault="00415507"/>
    <w:sectPr w:rsidR="00415507" w:rsidSect="00E12EE9">
      <w:pgSz w:w="12240" w:h="15840"/>
      <w:pgMar w:top="630" w:right="1440" w:bottom="1440" w:left="1440" w:header="720" w:footer="720" w:gutter="0"/>
      <w:pgBorders>
        <w:bottom w:val="single" w:sz="4" w:space="1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15507"/>
    <w:rsid w:val="003261FD"/>
    <w:rsid w:val="003953A6"/>
    <w:rsid w:val="00415507"/>
    <w:rsid w:val="00C70586"/>
    <w:rsid w:val="00CE406A"/>
    <w:rsid w:val="00E0776B"/>
    <w:rsid w:val="00E12EE9"/>
    <w:rsid w:val="00E7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E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Infosys Technologies Limited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SARTHI</cp:lastModifiedBy>
  <cp:revision>12</cp:revision>
  <dcterms:created xsi:type="dcterms:W3CDTF">2015-11-09T14:05:00Z</dcterms:created>
  <dcterms:modified xsi:type="dcterms:W3CDTF">2016-05-12T13:26:00Z</dcterms:modified>
</cp:coreProperties>
</file>